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8ACAE">
      <w:bookmarkStart w:id="0" w:name="_GoBack"/>
      <w:bookmarkEnd w:id="0"/>
    </w:p>
    <w:p w14:paraId="6BFA3B68"/>
    <w:p w14:paraId="450C138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Критеријуми и елементи оцењивања у настави биологије</w:t>
      </w:r>
    </w:p>
    <w:p w14:paraId="64F48D8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Према Правилнику о оцењивању ученика у основном образовању и васпитању - „Службени гласник РС” број 34 од 17.маја 2019.</w:t>
      </w:r>
    </w:p>
    <w:p w14:paraId="61625D2D">
      <w:pPr>
        <w:rPr>
          <w:rFonts w:ascii="Times New Roman" w:hAnsi="Times New Roman" w:cs="Times New Roman"/>
          <w:b/>
          <w:sz w:val="24"/>
          <w:szCs w:val="24"/>
        </w:rPr>
      </w:pPr>
    </w:p>
    <w:p w14:paraId="180855E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Врста, ниво и обим знања и ангажовање ученика оцењују се тако да оцену:</w:t>
      </w:r>
    </w:p>
    <w:p w14:paraId="3C4F6F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Одличан (5)</w:t>
      </w:r>
      <w:r>
        <w:rPr>
          <w:rFonts w:ascii="Times New Roman" w:hAnsi="Times New Roman" w:cs="Times New Roman"/>
          <w:sz w:val="24"/>
          <w:szCs w:val="24"/>
        </w:rPr>
        <w:t xml:space="preserve"> добија ученик који у потпуности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задовољава предвиђене исходе за дати разред и </w:t>
      </w:r>
      <w:r>
        <w:rPr>
          <w:rFonts w:ascii="Times New Roman" w:hAnsi="Times New Roman" w:cs="Times New Roman"/>
          <w:sz w:val="24"/>
          <w:szCs w:val="24"/>
        </w:rPr>
        <w:t>показује способност трансформације и примене знања у новим ситуацијама из тема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наслеђивање и еволуције, јединство грађе и функције као основа живота, порекло и разноврсност живота, живот у екосистему и човек и здравље; лако лoгички пoвeзуje чињeницe и пojмoвe; самостално изводи закључке који се заснивају на подацима; решава проблеме на нивоу стваралачког мишљења и у потпуности критички рaсуђуje; показује изузетну самосталност уз изузетно висок степен активности и ангажовања;</w:t>
      </w:r>
    </w:p>
    <w:p w14:paraId="1760F5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Врло добар (4)</w:t>
      </w:r>
      <w:r>
        <w:rPr>
          <w:rFonts w:ascii="Times New Roman" w:hAnsi="Times New Roman" w:cs="Times New Roman"/>
          <w:sz w:val="24"/>
          <w:szCs w:val="24"/>
        </w:rPr>
        <w:t xml:space="preserve"> добија ученик који у великој мери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задовољава предвиђене исходе за дати разред и</w:t>
      </w:r>
      <w:r>
        <w:rPr>
          <w:rFonts w:ascii="Times New Roman" w:hAnsi="Times New Roman" w:cs="Times New Roman"/>
          <w:sz w:val="24"/>
          <w:szCs w:val="24"/>
        </w:rPr>
        <w:t xml:space="preserve"> показује способност примене знања из тема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наслеђивање и еволуције, јединство грађе и функције као основа живота, порекло и разноврсност живота, живот у екосистему и човек и здравље, и лoгички пoвeзуje чињeницe и пojмoвe; самостално изводи закључке који се заснивају на подацима; решава поједине проблеме на нивоу стваралачког мишљења и у знатној мери критички рaсуђуje; показује велику самосталност и висок степен активности и ангажовања.</w:t>
      </w:r>
    </w:p>
    <w:p w14:paraId="2C4EF0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Добар (3)</w:t>
      </w:r>
      <w:r>
        <w:rPr>
          <w:rFonts w:ascii="Times New Roman" w:hAnsi="Times New Roman" w:cs="Times New Roman"/>
          <w:sz w:val="24"/>
          <w:szCs w:val="24"/>
        </w:rPr>
        <w:t xml:space="preserve"> добија ученик који у довољној мери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задовољава предвиђене исходе за дати разред и показује способност употребе информација из тема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наслеђивање и еволуције, јединство грађе и функције као основа живота, порекло и разноврсност живота, живот у екосистему и човеки здравље у новим ситуацијама; у знатној мери лoгички пoвeзуje чињeницe и пojмoвe; већим делом самостално изводи закључке који се заснивају на подацима и делимично самостално решава поједине проблеме; у довољној мери критички рaсуђуje; показује делимични степен активности и ангажовања.</w:t>
      </w:r>
    </w:p>
    <w:p w14:paraId="0E23E6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Довољан (2)</w:t>
      </w:r>
      <w:r>
        <w:rPr>
          <w:rFonts w:ascii="Times New Roman" w:hAnsi="Times New Roman" w:cs="Times New Roman"/>
          <w:sz w:val="24"/>
          <w:szCs w:val="24"/>
        </w:rPr>
        <w:t xml:space="preserve"> добија ученик </w:t>
      </w:r>
      <w:r>
        <w:rPr>
          <w:rFonts w:ascii="Times New Roman" w:hAnsi="Times New Roman" w:cs="Times New Roman"/>
          <w:sz w:val="24"/>
          <w:szCs w:val="24"/>
          <w:lang w:val="sr-Cyrl-RS"/>
        </w:rPr>
        <w:t>који у мањој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мери задовољава предвиђене исходе за дати разред чија су</w:t>
      </w:r>
      <w:r>
        <w:rPr>
          <w:rFonts w:ascii="Times New Roman" w:hAnsi="Times New Roman" w:cs="Times New Roman"/>
          <w:sz w:val="24"/>
          <w:szCs w:val="24"/>
        </w:rPr>
        <w:t xml:space="preserve"> знања на нивоу репродукције из тема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наслеђивање и еволуције, јединство грађе и функције као основа живота, порекло и разноврсност живота, живот у екосистему и човек и здравље, уз минималну примену; у мањој мери лoгички пoвeзуje чињeницe и пojмoвe и искључиво уз подршку наставника изводи закључке који се заснивају на подацима; понекад је самосталан у решавању проблема и у недовољној мери критички рaсуђуje; показује мањи степен активности и ангажовања.</w:t>
      </w:r>
    </w:p>
    <w:p w14:paraId="3E3940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Недовољан (1)</w:t>
      </w:r>
      <w:r>
        <w:rPr>
          <w:rFonts w:ascii="Times New Roman" w:hAnsi="Times New Roman" w:cs="Times New Roman"/>
          <w:sz w:val="24"/>
          <w:szCs w:val="24"/>
        </w:rPr>
        <w:t xml:space="preserve"> добија ученик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који не задовољава предвиђене исходе за дати разред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чија</w:t>
      </w:r>
      <w:r>
        <w:rPr>
          <w:rFonts w:ascii="Times New Roman" w:hAnsi="Times New Roman" w:cs="Times New Roman"/>
          <w:sz w:val="24"/>
          <w:szCs w:val="24"/>
        </w:rPr>
        <w:t xml:space="preserve"> знања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нису ни на нивоу препознавања и не показује способност репродукције и примене из тема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наслеђивање и еволуције, јединство грађе и функције као основа живота, порекло и разноврсност живота, живот у екосистему и човек и здравље;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изводи закључке који се заснивају на подацима; критички не рaсуђуje; не показује интересовање за учешће у активностима нити ангажовање.                                       </w:t>
      </w:r>
    </w:p>
    <w:p w14:paraId="1475EB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029034BD">
      <w:pPr>
        <w:rPr>
          <w:rFonts w:ascii="Times New Roman" w:hAnsi="Times New Roman" w:cs="Times New Roman"/>
          <w:b/>
          <w:sz w:val="24"/>
          <w:szCs w:val="24"/>
        </w:rPr>
      </w:pPr>
    </w:p>
    <w:p w14:paraId="5B64EB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ИСХОДИ ПО ТЕМАМА И РАЗРЕДИМА</w:t>
      </w:r>
    </w:p>
    <w:p w14:paraId="376648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(на крају теме ученик би требало да ...)</w:t>
      </w:r>
    </w:p>
    <w:p w14:paraId="33B2FB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5.РАЗРЕД</w:t>
      </w:r>
    </w:p>
    <w:p w14:paraId="288E6F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ПОРЕКЛО И РАЗНОВРСНОСТ ЖИВОТА                                                </w:t>
      </w:r>
    </w:p>
    <w:p w14:paraId="31AE31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Разуме појам живог и истражује особине живих бића по познатој процедури и води рачуна о безбедности током рада; користи доступну ИКТ и другу опрему у истраживању, обради података и приказу резултата; </w:t>
      </w:r>
    </w:p>
    <w:p w14:paraId="3615533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ЈЕДИНСТВО ГРАЂЕ И ФУНКЦИЈЕ КАО ОСНОВА ЖИВОТА </w:t>
      </w:r>
    </w:p>
    <w:p w14:paraId="00AD6F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Идентификује основне прилагођености спољашње грађе живих бића на услове животне средине, укључујући и основне односе исхране и  распрострањење;једноставним цртежом прикаже биолошке објекте које посматра и истражује и означи кључне детаље; користи доступну ИКТ и другу опрему у истраживању, обради података и приказу резултата;</w:t>
      </w:r>
    </w:p>
    <w:p w14:paraId="30C8D17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НАСЛЕЂИВАЊЕ И ЕВОЛУЦИЈА                                                        </w:t>
      </w:r>
    </w:p>
    <w:p w14:paraId="0497A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Прикупља податке о варијабилности организама унутар једне врсте, табеларно и графички их представља и изводи једноставне закључке; разликује наследне особине и особине које су резултат деловања средине, на   моделима из  свакодневног  живота;поставља једноставне претпоставке, огледом испитује утицај срединских фактора на ненаследне особине  живих бића и критички    сагледава резултате;користи доступну ИКТ и другу опрему у истраживању, обради података и приказу  резултата; </w:t>
      </w:r>
    </w:p>
    <w:p w14:paraId="6F3E4B8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ЖИВОТ У ЕКОСИСТЕМУ                                                                            </w:t>
      </w:r>
    </w:p>
    <w:p w14:paraId="3AF198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Доводи у везу промене у спољашњој средини (укључујући утицај човека) са губитком разноврсности живих бића на Земљи; прави  разлику између одговорног и неодговорног односа према живим бићима у   непосредном окружењу;предлаже акције бриге о биљкама и животињама у непосредном окружењу,   учествује у њима,  сарађује са осталим  учесницима и решава конфликте на ненасилан  начин; илуструје примерима деловање људи на животну средину и схвата последице таквих   дејстава; користи доступну ИКТ и другу опрему у истраживању, обради података и приказу резултата;</w:t>
      </w:r>
    </w:p>
    <w:p w14:paraId="4D0074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ЧОВЕК И ЗДРАВЉЕ                                                                                  </w:t>
      </w:r>
    </w:p>
    <w:p w14:paraId="44D1C1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Идентификује елементе здравог начина живота и у односу на њих уме да процени сопствене животне навике и избегава ризична понашања; користи доступну ИКТ и другу опрему у истраживању, обради података и приказу резултата;</w:t>
      </w:r>
    </w:p>
    <w:p w14:paraId="093064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C935B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6.РАЗРЕД</w:t>
      </w:r>
    </w:p>
    <w:p w14:paraId="547F21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ТЕМА:ЈЕДИНСТВО ГРАЂЕ И ФУНКЦИЈЕ КАО ОСНОВА ЖИВОТА</w:t>
      </w:r>
    </w:p>
    <w:p w14:paraId="388524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Упоређује грађу животиња, биљака и бактерија на нивоу ћелије и нивоу организма;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повезује грађу и животне процесе на нивоу ћелије и нивоу организма;одређује положај органа човека и њихову улогу;цртежом или моделом приказује основне елементе грађе ћелије једноћелијских и вишећелијских организама;користи лабораторијски прибор и школски микроскоп за израду и посматрање готових и самостално израђених препарата;хумано поступа према организмима које истражује;користи ИКТ и другу опрему у истраживању, обради података и приказу резултата;табеларно и графички представи прикупљене податке и изведе одговарајуће закључке;разматра, у групи, шта и како учи и где та знања може да примени.</w:t>
      </w:r>
    </w:p>
    <w:p w14:paraId="57254C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ТЕМА:ЖИВОТ У ЕКОСИСТЕМУ</w:t>
      </w:r>
    </w:p>
    <w:p w14:paraId="2806F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  разлику између животне средине, станишта, популације, екосистема и еколошке нише;разматра односе међу члановима једне популације, односе између различитих популација, као и односе имеђу различитих популација на конкретним примерима;илуструје примерима међусобни утицај живих бића и узајамни однос са животном средином;повезује узроке нарушавања животне средине са последицама по њу и људско здравље и делује личним примером у циљу заштите животне средине;хумано поступа према организмима које истражује;користи ИКТ и другу опрему у истраживању, обради података и приказу резултата;табеларно и графички представи прикупљене податке и изведе одговарајуће закључке;разматра, у групи, шта и како учи и где та знања може да примени.</w:t>
      </w:r>
    </w:p>
    <w:p w14:paraId="302FFE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ТЕМА:НАСЛЕЂИВАЊЕ И ЕВОЛУЦИЈА</w:t>
      </w:r>
    </w:p>
    <w:p w14:paraId="5FF8DF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Истражује утицај средине на испољавање особина, поштујући принципе научног метода;идентификује примере природне и вештачке селекције у окружењу и у задатом тексту/илустрацији;повезује  еволутивне промене са наследном варијабилношћу и природном селекцијом;хумано поступа према организмима које истражује;користи ИКТ и другу опрему у истраживању, обради података и приказу резултата;табеларно и графички представи прикупљене податке и изведе одговарајуће закључке;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разматра, у групи, шта и како учи и где та знања може да примени.</w:t>
      </w:r>
    </w:p>
    <w:p w14:paraId="0F8EC2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ТЕМА:ПОРЕКЛО И РАЗНОВРСНОСТ ЖИВОТА</w:t>
      </w:r>
    </w:p>
    <w:p w14:paraId="10783A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Групише организме према особинама које указују на заједничко порекло живота на Земљи;одређује  положај непознате врсте на „дрвету живота“, на основу познавања општих карактеристика једноћелијских и вишећелијских организама;користи ИКТ и другу опрему у истраживању, обради података и приказу резултата;табеларно и графички представи прикупљене податке и изведе одговарајуће закључке;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разматра, у групи, шта и како учи и где та знања може да примени.</w:t>
      </w:r>
    </w:p>
    <w:p w14:paraId="170F7F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ТЕМА:ЧОВЕК И ЗДРАВЉЕ</w:t>
      </w:r>
    </w:p>
    <w:p w14:paraId="27C45D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Прикупи податке о радовима научника који су допринели изучавању људског здравља и изнесе свој став о значају њиховог истраживања;одржава личну хигијену и хигијену животног простора у циљу спречавања инфекција;доведи у везу измењено понашање људи са коришћењем психоактивних супстанци;збрине површинске озледе коже, укаже прву помоћ у случају убода инсеката, сунчанице и топлотног удара и затражи лекарску помоћ кад процени да је потребна;користи ИКТ и другу опрему у истраживању, обради података и приказу резултата;табеларно и графички представи прикупљене податке и изведе одговарајуће закључке;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разматра, у групи, шта и како учи и где та знања може да примени.</w:t>
      </w:r>
    </w:p>
    <w:p w14:paraId="2B82AF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3D6E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166D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B2FD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7.РАЗРЕД</w:t>
      </w:r>
    </w:p>
    <w:p w14:paraId="52C485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ТЕМА:НАСЛЕЂИВАЊЕ И ЕВОЛУЦИЈА</w:t>
      </w:r>
    </w:p>
    <w:p w14:paraId="07F018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Прикупља и анализира податке о животним циклусима почевши од оплођења; упоређује бесполно и полно размножавање;идентификује разлике између митозе и мејозе на основну промене броја хромозома и њихове улоге у развићу и репродукцији;одређује однос између гена и хромозома и основну улогу генетичког материјала у ћелији;шематски прикаже наслеђивање пола и других особина према првом Менделовом правилу;користи ИКТ и другу опрему у истраживању, обради података и приказу резултата;табеларно и графички представи прикупљене податке и изведе одговарајуће закључке; разматра, у групи, шта и како је учио и где та знања може да примени.</w:t>
      </w:r>
    </w:p>
    <w:p w14:paraId="412E00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ТЕМА:ЈЕДИНСТВО ГРАЂЕ И ФУНКЦИЈЕ</w:t>
      </w:r>
    </w:p>
    <w:p w14:paraId="374EEA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Одређује положај организма на дрвету живота на основу прикупљених и анализираних информација о његовој грађи;упоређује организме на различитим позицијама на „дрву живота“ према начину на који обављају животне процесе; користи микроскоп за посматрање грађе гљива, биљних и животињских ткива;упоређује грађу животиња, биљака и бактерија на нивоу ћелија и нивоу организма;повезује грађу и животне процесе на нивоу ћелије и нивоу организма;одређује положај човекових органа и њихову улогу; цртежом или моделом прикаже основне елементе грађе ћелије једноћелијских и вишећелијских организама; користи лабораторијски прибор и школски микроскоп за израду и посматрање препарата; хумано поступа према организмима које истражуje.</w:t>
      </w:r>
    </w:p>
    <w:p w14:paraId="31CB13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ТЕМА:ПОРЕКЛО И РАЗНОВРСНОСТ ЖИВОТА</w:t>
      </w:r>
    </w:p>
    <w:p w14:paraId="50A13F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Одређује положај организма на дрвету живота на основу прикупљених и анализираних информација о његовој грађи; упоређује организме на различитим позицијама на „дрвету живота“ према начину на који обављају животне процесе;  користи микроскоп за посматрање грађе гљива, биљних и животињских  ткива; разврста организме према задатим критеријумима применом дихотомих кључева; повеже принципе систематике са филогенијом и еволуцијом на основу данашњих и изумрлих врста – фосила; користи ИКТ и другу опрему у истраживању, обради података и приказу резултата; табеларно и графички представи прикупљене податке и изведе одговарајуће закључке; разматра, у групи, шта и како је учио и где та знања може да примени.</w:t>
      </w:r>
    </w:p>
    <w:p w14:paraId="5125C4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ТЕМА:ЖИВОТ У ЕКОСИСТЕМУ</w:t>
      </w:r>
    </w:p>
    <w:p w14:paraId="5F20F8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Идентификује основне односе у биоценози на задатим примерима;илуструје примерима однос између еколошких фактора и ефеката природне селекције; упоређује прикупљене податке о изабраној врсти и њеној бројности на различитим стаништима; повезује утицај абиотичких чинилаца у одређеној животној области – биому са животним формама које га насељавају; анализира разлику између сличности и сродности организама на примерима конвергенције и дивергенције; идентификује трофички ниво организма у мрежи  исхране; предложе акције заштите биодиверзитета и учествује у њима; користи ИКТ и другу опрему у истраживању, обради података и приказу резултата; табеларно и графички представи прикупљене податке и изведе одговарајуће закључке;  разматра, у групи, шта и како је учио и где та знања може да примени.</w:t>
      </w:r>
    </w:p>
    <w:p w14:paraId="7A3765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6B8C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ТЕМА:ЧОВЕК И ЗДРАВЉЕ</w:t>
      </w:r>
    </w:p>
    <w:p w14:paraId="1D7534D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Анализира задати јеловник са аспекта уравнотежене и разноврсне исхране; идентификује поремећаје исхране на основу типичних симптома (гојазност, анорексија, булимија); планира време за рад, одмор и рекреацију; доведи у везу измењено понашање људи са коришћењем психоактивних супстанци; аргументује предности вакцинације; примењује поступке збрињавања лакших облика крварења; расправља о различитости међу људима са аспекта генетичке варијабилности, толеранције и прихватања различитости; користи ИКТ и другу опрему у истраживању, обради података и приказу резултата; табеларно и графички представи прикупљене податке и изведе одговарајуће закључке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97ED1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08165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8.РАЗРЕД</w:t>
      </w:r>
    </w:p>
    <w:p w14:paraId="6E3B64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ТЕМА:ЈЕДИНСТВО ГРАЂЕ И ФУНКЦИЈЕ КАО ОСНОВА ЖИВОТА</w:t>
      </w:r>
    </w:p>
    <w:p w14:paraId="1EE38B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Повезује грађу ћелијских органела са њиховом улогом у метаболизму ћелије; повезује однос површине и запремине ћелије и тела са начином обављања основних животних функција; идентификује регулаторне механизме у одржавању хомеостазе; илуструје примерима везу између физиолошких одговора живих бића и промена у спољашњој средини; цртежом или моделом прикаже основне елементе грађе ћелије једноћелијских и вишећелијских организама; користи лабораторијски прибор и школски микроскоп за израду и посматрање препарата; хумано поступа према организмима које истражуje; користи ИКТ и другу опрему у истраживању, обради података и приказу резултата; табеларно и графички представи прикупљене податке и изведе одговарајуће закључке; разматра, у групи, шта и како је учио и где та знања може да примени.</w:t>
      </w:r>
    </w:p>
    <w:p w14:paraId="5E7B5E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ТЕМА:ЧОВЕК И ЗДРАВЉЕ</w:t>
      </w:r>
    </w:p>
    <w:p w14:paraId="32F9A0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Одговорно се односи према свом здрављу; изражава критички став према медијским садржајима који се баве здравим стиловима живота; повезује промене настале у пубертету са деловањем хормона; идентификује поремећаје у раду органа и система органа изазваних нездравим начином живота;користи лабораторијски прибор и школски микроскоп за израду и посматрање препарата; хумано поступа према организмима које истражуje; користи ИКТ и другу опрему у истраживању, обради података и приказу резултата; табеларно и графички представи прикупљене податке и изведе одговарајуће закључке; разматра, у групи, шта и како је учио и где та знања може да примени</w:t>
      </w:r>
    </w:p>
    <w:p w14:paraId="3CD31A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ТЕМА:ПОРЕКЛО И РАЗНОВРСНОСТ ЖИВОТА</w:t>
      </w:r>
    </w:p>
    <w:p w14:paraId="240D1E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Доводи у везу промене животних услова са еволуцијом живота на планети; истражује давно нестале екосистеме;повезује промене које се догађају организму током животног циклуса са активностима гена; повезује промене наследног материјала са настанком нових врста путем природне селекције;установљава узрочно-последичну везу између губитaка врста у екосистему и негативних последица у преносу супстанце и енергије у мрежама исхране; користи ИКТ и другу опрему у истраживању, обради података и приказу резултата; табеларно и графички представи прикупљене податке и изведе одговарајуће закључке; разматра, у групи, шта и како је учио и где та знања може да примени.</w:t>
      </w:r>
    </w:p>
    <w:p w14:paraId="41174F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ТЕМА:НАСЛЕЂИВАЊЕ И ЕВОЛУЦИЈА</w:t>
      </w:r>
    </w:p>
    <w:p w14:paraId="79CEC1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Повезује промене које се догађају организму током животног циклуса са активностима гена; повезује промене наследног материјала са настанком нових врста путем природне селекције; користи ИКТ и другу опрему у истраживању, обради података и приказу резултата; табеларно и графички представи прикупљене податке и изведе одговарајуће закључке; разматра, у групи, шта и како је учио и где та знања може да примени</w:t>
      </w:r>
    </w:p>
    <w:p w14:paraId="73F7A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ТЕМА:ЖИВОТ У ЕКОСИСТЕМУ</w:t>
      </w:r>
    </w:p>
    <w:p w14:paraId="589FE35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Критички процењује последице људских делатности у односу на расположиве ресурсе на Земљи; повезује утицај еколошких чинилаца са распоредом карактеристичних врста које насељавају простор Србије; истражује присуство инвазивних врста у својој околини и вероватне путеве насељавања;  истражује разлоге губитка биодиверзитета на локалном подручју; користи ИКТ и другу опрему у истраживању, обради података и приказу резултата; табеларно и графички представи прикупљене податке и изведе одговарајуће закључке; разматра, у групи, шта и како је учио и где та знања може да примени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574322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820E42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ШТА СЕ И КАКО ОЦЕЊУЈЕ</w:t>
      </w:r>
    </w:p>
    <w:p w14:paraId="6733C5E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Иницијални тест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-спроводи се на почетку школске године по потреби (прва недеља) и обухвата задатке задате на три нивоа, на нивоу одељења. На основу иницијалног тестирања наставник добија информацију са каквим предзнањем ученици крећу у нови разред и  које области и питања треба обновити. Иницијали тест се не оцењује и служи за планирање рада наставника и даље праћење напредовања ученика. Бележење иницијалног теста ученика врши се у процентима у електонском дневнику. </w:t>
      </w:r>
    </w:p>
    <w:p w14:paraId="47ECD4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D10FDA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Усмена провера постигнућа ученика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–Односи се на познавање садржаја предвиђених  Наставним планом и програмом. Под овим се подразумева вредновање способности репродуковања, разумевања, објашњавања, изношења аргументованух статвова а у вези са датим садржајима и у складу са претходно описаним исходима и бројчаним оценама.  Обавља се у току оба полугодишта.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Најмање једна оцена у полугодишту треба да буде на основу усмене провере постигнућа ученика. Наставнице могу одржати и више усмених провера знања ученика, ако за то има довољно наставног времена и ако се процени да би то подстакло напредовање ученика. Усмена провера постигнућа може да се врши свакодневно а у складу са постојећим законским одредбама. </w:t>
      </w:r>
    </w:p>
    <w:p w14:paraId="5B7B7842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6587D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A20CDD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Писмена провера постигнућа ученика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– Односи се на способност анализе, синтезе и примене садржаја предвиђених  Наставним планом и програмом. Облици писмене провере постигнућа су: објективни тестови са допуњавањем кратких одговора, задаци са означавањем, задаци вишеструког избора, спаривање појмова...Обавља се у току оба полугодишта, минимално четири пута: два у првом и два у другом полугодишту. Постигнуће у тесту или петнаестоминутној контролној вежби се изражава у процентима, на основу којих се даје одговарајућа оцена. Оцена са теста се уноси у дневник у року од осам дана и мора бити евидентирана  у распореду контролних и писмених задатака у дневнику и најављена унапред ученицима. Оцене са петнаестоминутних контролних вежби се уписују у педагошку документацију. Након три петнаестоминутне вежбе, узима се средња вредност и оцена се уписује у дневник. Петнаестоминутна контролна вежба се не најављује! </w:t>
      </w:r>
    </w:p>
    <w:p w14:paraId="546C5C2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2876A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D0F477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Бодовање теста или петнаестоминутне контролне вежбе: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4"/>
      </w:tblGrid>
      <w:tr w14:paraId="7BB8C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 w14:paraId="78C425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Постигнуће изражено  у %</w:t>
            </w:r>
          </w:p>
        </w:tc>
        <w:tc>
          <w:tcPr>
            <w:tcW w:w="4644" w:type="dxa"/>
          </w:tcPr>
          <w:p w14:paraId="02292F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Оцена</w:t>
            </w:r>
          </w:p>
        </w:tc>
      </w:tr>
      <w:tr w14:paraId="14675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 w14:paraId="672A1E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85-100</w:t>
            </w:r>
          </w:p>
        </w:tc>
        <w:tc>
          <w:tcPr>
            <w:tcW w:w="4644" w:type="dxa"/>
          </w:tcPr>
          <w:p w14:paraId="38D9E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Одличан (5)</w:t>
            </w:r>
          </w:p>
        </w:tc>
      </w:tr>
      <w:tr w14:paraId="6F335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 w14:paraId="46824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60-84</w:t>
            </w:r>
          </w:p>
        </w:tc>
        <w:tc>
          <w:tcPr>
            <w:tcW w:w="4644" w:type="dxa"/>
          </w:tcPr>
          <w:p w14:paraId="0E30A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Врло добар (4)</w:t>
            </w:r>
          </w:p>
        </w:tc>
      </w:tr>
      <w:tr w14:paraId="5E327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 w14:paraId="2D2097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45-59</w:t>
            </w:r>
          </w:p>
        </w:tc>
        <w:tc>
          <w:tcPr>
            <w:tcW w:w="4644" w:type="dxa"/>
          </w:tcPr>
          <w:p w14:paraId="64796A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Добар (3)</w:t>
            </w:r>
          </w:p>
        </w:tc>
      </w:tr>
      <w:tr w14:paraId="336AE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 w14:paraId="6EC0B4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30-44</w:t>
            </w:r>
          </w:p>
        </w:tc>
        <w:tc>
          <w:tcPr>
            <w:tcW w:w="4644" w:type="dxa"/>
          </w:tcPr>
          <w:p w14:paraId="7E2061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Довољан (2)</w:t>
            </w:r>
          </w:p>
        </w:tc>
      </w:tr>
      <w:tr w14:paraId="0A387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 w14:paraId="44A286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0-29</w:t>
            </w:r>
          </w:p>
        </w:tc>
        <w:tc>
          <w:tcPr>
            <w:tcW w:w="4644" w:type="dxa"/>
          </w:tcPr>
          <w:p w14:paraId="2B82FB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Недовољан (1)</w:t>
            </w:r>
          </w:p>
        </w:tc>
      </w:tr>
    </w:tbl>
    <w:p w14:paraId="17D86730">
      <w:pPr>
        <w:rPr>
          <w:rFonts w:ascii="Times New Roman" w:hAnsi="Times New Roman" w:cs="Times New Roman"/>
          <w:i/>
          <w:sz w:val="20"/>
          <w:szCs w:val="20"/>
          <w:lang w:val="sr-Cyrl-RS"/>
        </w:rPr>
      </w:pPr>
      <w:r>
        <w:rPr>
          <w:rFonts w:ascii="Times New Roman" w:hAnsi="Times New Roman" w:cs="Times New Roman"/>
          <w:b/>
          <w:i/>
          <w:sz w:val="20"/>
          <w:szCs w:val="20"/>
          <w:lang w:val="sr-Cyrl-RS"/>
        </w:rPr>
        <w:t>Напомена:</w:t>
      </w:r>
      <w:r>
        <w:rPr>
          <w:rFonts w:ascii="Times New Roman" w:hAnsi="Times New Roman" w:cs="Times New Roman"/>
          <w:i/>
          <w:sz w:val="20"/>
          <w:szCs w:val="20"/>
          <w:lang w:val="sr-Cyrl-RS"/>
        </w:rPr>
        <w:t xml:space="preserve"> У зависности од услова рада и других релевантних околности, а у складу са правилникомк, потребама и  рада могуће су корекције и одступања у процентуалном изражавању постигнућа до 5%.</w:t>
      </w:r>
    </w:p>
    <w:p w14:paraId="4673022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Пројекат </w:t>
      </w:r>
      <w:r>
        <w:rPr>
          <w:rFonts w:ascii="Times New Roman" w:hAnsi="Times New Roman" w:cs="Times New Roman"/>
          <w:sz w:val="24"/>
          <w:szCs w:val="24"/>
          <w:lang w:val="sr-Cyrl-RS"/>
        </w:rPr>
        <w:t>- групни облик рада на одређену тему, а има за циљ: самостално прикупљање и критички одабир информација; решавање проблема; доношење одлука; планирање и поштовање рокова; самостално учење; рад у групи; сарадња; критички однос према властитом и туђем раду. Наставник јасно дефинише и упознаје ученике са елементима за вредновање пројекта, групног рада и индивидуалног рада у оквиру групе.</w:t>
      </w:r>
    </w:p>
    <w:p w14:paraId="459CCAF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Практични рад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(оглед, лабораторијска вежба, практични задатак) - ученик/ученица се оцењује: за извођење огледа/лабораторијске вежбе/задатка, давање једноставног објашњења рада (поступка) и начина одбране (излагања), плакат, презентацију, теренски рад, решавање радних листова и сл. </w:t>
      </w:r>
    </w:p>
    <w:p w14:paraId="3507E5D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Бројчано оцењивање пројекта и практичног рада обавља се на основу тога колико ученик остварује или не остварује специфичне захтеве и критеријуме самог рада/пројекта.</w:t>
      </w:r>
    </w:p>
    <w:p w14:paraId="585C492E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BEB8B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Сјајна идеја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- добија онај ученик/ученица који у току часа, закључи, повеже, пронађе решење за постављени проблем... покаже своју генијалност. Вредност идеје је одличан (5).</w:t>
      </w:r>
    </w:p>
    <w:p w14:paraId="5A2EE71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03F06B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Домаћи задатак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- наставник проверава домаће задатке и бележи плусеве и минусе у педагошку документацију (углавном не ради домаће задатке, домаће задатке ради повремено, домаће задатке ради редовно, домаће задатке ради редовно и тачно)</w:t>
      </w:r>
    </w:p>
    <w:p w14:paraId="117AD69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Рад на часу (активност)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подразумева укупан однос према предмету ученикову пажњу, праћење (слушање наставника или ученика док излажу), једном речју активно учествовање у наставном процесу. За активност на часу ученик може добити плус или минус. </w:t>
      </w:r>
    </w:p>
    <w:p w14:paraId="5763AE5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Компоненте које се вреднују су радне навике: </w:t>
      </w:r>
    </w:p>
    <w:p w14:paraId="33CAA88C">
      <w:pPr>
        <w:pStyle w:val="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активност на часу (активан у обради новог градива, активан само на подстицај, није активан ни на подстицај); </w:t>
      </w:r>
    </w:p>
    <w:p w14:paraId="05598FB8">
      <w:pPr>
        <w:pStyle w:val="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систематичност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изразито темељан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педантан, савестан, ревносан, прецизан, стално брине о квалитету свог рада, површан, не заинтересован, не брине о квалитету свог рада). </w:t>
      </w:r>
    </w:p>
    <w:p w14:paraId="682F4A17">
      <w:pPr>
        <w:pStyle w:val="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истрајност у раду (не одустаје или одустаје код потешкоћа, има или нема довољно стрпљења и издржљивости, задовољан или није делимичним резултатима).</w:t>
      </w:r>
    </w:p>
    <w:p w14:paraId="778B0D6E">
      <w:pPr>
        <w:pStyle w:val="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марљивост (вредан, радо учи, ради само под контролом-вођством, недостају му радне навике). </w:t>
      </w:r>
    </w:p>
    <w:p w14:paraId="562DA550">
      <w:pPr>
        <w:pStyle w:val="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самосталност у раду (самостално и без подстицаја се одлучује за рад, тражи помоћ или не тражи када му је потребна). </w:t>
      </w:r>
    </w:p>
    <w:p w14:paraId="251947FE">
      <w:pPr>
        <w:pStyle w:val="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припремљеност за час (углавном нема свеску и прибор за рад, углавном има свеску и прибор за рад, редовно има прибор за рад и свеску и одржава је уредном). Наставник може да оцени школску свеску ученика на крају полугодишта/школске године (садржај, уредност, цртеже, додатне текстове..)</w:t>
      </w:r>
    </w:p>
    <w:p w14:paraId="7E0C6670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На крају полугодишта / године се у дневник уноси оцена изведена на основу плусева и минуса за домаће задатке и рад на часу.</w:t>
      </w:r>
    </w:p>
    <w:p w14:paraId="5A7ABCD0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086741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Закључна оцена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утврђује се на крају првог и другог полугодишта, на основу свих појединачних оцена (најмање четири оцене током полугодишта) које су унете у дневник од почетка школске године.</w:t>
      </w:r>
    </w:p>
    <w:p w14:paraId="14C017F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Закључна оцена не може да буде већа од највеће појединачне оцене уписане у дневник, добијене било којом техником провере знања. Као почетно полазиште код закључивања оцене узима се у обзир аритметичка средина оцена из елемената оцењивања. Осим аритметичке средине, у закључну оцену улазе све белешке праћења рада ученика. Закључна оцена не мора произлазити из аритметичке средине уписаних оцена, а нарочито ако је ученик показао напредак у другом полугодишту.</w:t>
      </w:r>
    </w:p>
    <w:p w14:paraId="787A8C4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Закључна оцена на полугодишту не узима се у обзир приликом утврђивања аритметичке средине на крају другог полугодишта.</w:t>
      </w:r>
    </w:p>
    <w:p w14:paraId="64D161D2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B9997BF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Оцењивање ученика који остварују додатну подршку у образовању</w:t>
      </w:r>
    </w:p>
    <w:p w14:paraId="746C939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Ученик коме је потребна додатна подршка у образовању и васпитању оцењује се на основу ангажовања и степена остварености циљева и исхода дефинисаних планом индивидуализације и ИОП-ом.</w:t>
      </w:r>
    </w:p>
    <w:p w14:paraId="0630964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</w:p>
    <w:p w14:paraId="4BCE2E3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</w:p>
    <w:p w14:paraId="4A542B8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Ученику који стиче образовање и васпитање по индивидуалном образовном плану, а не остварује планиране циљеве и исходе, ревидира се индивидуални образовни план.</w:t>
      </w:r>
    </w:p>
    <w:p w14:paraId="69352D4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Ученик са изузетним способностима који стиче образовање и васпитање на прилагођен и обогаћен начин, применом индивидуалног образовног плана, оцењује се на основу праћења остваривања прописаних исхода и стандарда постигнућа и ангажовања.</w:t>
      </w:r>
    </w:p>
    <w:p w14:paraId="28794C2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</w:p>
    <w:p w14:paraId="58EDBCB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Предметни наставници:</w:t>
      </w:r>
    </w:p>
    <w:p w14:paraId="00C4065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Биљана Јеремић Новаковић</w:t>
      </w:r>
    </w:p>
    <w:p w14:paraId="2EF9A88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Снежана Станишић</w:t>
      </w:r>
    </w:p>
    <w:sectPr>
      <w:footerReference r:id="rId5" w:type="default"/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28585396"/>
      <w:docPartObj>
        <w:docPartGallery w:val="AutoText"/>
      </w:docPartObj>
    </w:sdtPr>
    <w:sdtContent>
      <w:p w14:paraId="14AF9655">
        <w:pPr>
          <w:pStyle w:val="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14:paraId="46167DDC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B3707E"/>
    <w:multiLevelType w:val="multilevel"/>
    <w:tmpl w:val="29B3707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1F"/>
    <w:rsid w:val="00076905"/>
    <w:rsid w:val="00131A79"/>
    <w:rsid w:val="00156F2B"/>
    <w:rsid w:val="001F6620"/>
    <w:rsid w:val="00267BB6"/>
    <w:rsid w:val="002E5F53"/>
    <w:rsid w:val="00312944"/>
    <w:rsid w:val="00354780"/>
    <w:rsid w:val="00433A36"/>
    <w:rsid w:val="0054097F"/>
    <w:rsid w:val="00543601"/>
    <w:rsid w:val="00543F4A"/>
    <w:rsid w:val="00587E1E"/>
    <w:rsid w:val="005E3308"/>
    <w:rsid w:val="006821FA"/>
    <w:rsid w:val="006842D2"/>
    <w:rsid w:val="007355ED"/>
    <w:rsid w:val="007F0B45"/>
    <w:rsid w:val="00804E70"/>
    <w:rsid w:val="0085351F"/>
    <w:rsid w:val="00882CEA"/>
    <w:rsid w:val="0090396D"/>
    <w:rsid w:val="0092226E"/>
    <w:rsid w:val="00977B93"/>
    <w:rsid w:val="00B16792"/>
    <w:rsid w:val="00B82828"/>
    <w:rsid w:val="00BD5D0D"/>
    <w:rsid w:val="00C82993"/>
    <w:rsid w:val="00CA2988"/>
    <w:rsid w:val="00CA4CF8"/>
    <w:rsid w:val="00D3785A"/>
    <w:rsid w:val="00D87C68"/>
    <w:rsid w:val="00D91AE5"/>
    <w:rsid w:val="00EA527C"/>
    <w:rsid w:val="00EA69D2"/>
    <w:rsid w:val="00F72FCD"/>
    <w:rsid w:val="2ED0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sr-Latn-R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er Char"/>
    <w:basedOn w:val="2"/>
    <w:link w:val="5"/>
    <w:qFormat/>
    <w:uiPriority w:val="99"/>
  </w:style>
  <w:style w:type="character" w:customStyle="1" w:styleId="8">
    <w:name w:val="Footer Char"/>
    <w:basedOn w:val="2"/>
    <w:link w:val="4"/>
    <w:uiPriority w:val="99"/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3100</Words>
  <Characters>18875</Characters>
  <Lines>159</Lines>
  <Paragraphs>44</Paragraphs>
  <TotalTime>0</TotalTime>
  <ScaleCrop>false</ScaleCrop>
  <LinksUpToDate>false</LinksUpToDate>
  <CharactersWithSpaces>22332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2026-09-09T21:37:00Z</dcterms:created>
  <dc:creator>Korisnik</dc:creator>
  <cp:lastModifiedBy>Biljana Pavlović</cp:lastModifiedBy>
  <dcterms:modified xsi:type="dcterms:W3CDTF">2026-09-10T10:01:21Z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4FCB24D526B54636917590A75A274E31_13</vt:lpwstr>
  </property>
</Properties>
</file>